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</w:p>
    <w:bookmarkEnd w:id="0"/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2023年公开招聘编外人员工作考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务需求表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12"/>
        <w:gridCol w:w="2925"/>
        <w:gridCol w:w="1100"/>
        <w:gridCol w:w="1175"/>
        <w:gridCol w:w="1200"/>
        <w:gridCol w:w="5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考场费用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负责准备考室、考务室；考试屏蔽设备设备；饮用水；考务办公物资等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监考及工作人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员劳务费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包括监考人员、监督员、巡考员等考务工作人员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午餐费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考务工作人员的工作餐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考场费用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负责准备考室、考务室；考试屏蔽设备设备；饮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用水；考务办公物资等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考官劳务费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面试考官为高级职称或副处级及以上干部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监考及工作人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员劳务费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包括监考人员、监督员、巡考员等考务工作人员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午餐费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面试滞留考生、考官、考务工作人员的工作餐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34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注：报价以500人为例，结算以实际发生为准。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23805C8E"/>
    <w:rsid w:val="71C179B3"/>
    <w:rsid w:val="7A6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2023-12-06T03:41:00Z</dcterms:created>
  <dc:creator>Administrator</dc:creator>
  <cp:lastModifiedBy>621423029387</cp:lastModifiedBy>
  <dcterms:modified xsi:type="dcterms:W3CDTF">2023-12-06T07:02:28Z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D633B20B67DB42388E2F263521943936_12</vt:lpwstr>
  </property>
</Properties>
</file>